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BLOMME Philippe</w:t>
      </w:r>
    </w:p>
    <w:p>
      <w:pPr>
        <w:spacing w:line="240" w:lineRule="auto" w:before="0" w:after="0"/>
        <w:jc w:val="right"/>
      </w:pPr>
      <w:r>
        <w:t>À l’attention de Monsieur Philippe Michel Blomme</w:t>
      </w:r>
    </w:p>
    <w:p>
      <w:pPr>
        <w:spacing w:line="240" w:lineRule="auto" w:before="0" w:after="0"/>
        <w:jc w:val="right"/>
      </w:pPr>
      <w:r>
        <w:t>32 bd du Maréchal Joffre</w:t>
      </w:r>
    </w:p>
    <w:p>
      <w:pPr>
        <w:spacing w:line="240" w:lineRule="auto" w:before="0" w:after="0"/>
        <w:jc w:val="right"/>
      </w:pPr>
      <w:r>
        <w:t>92340 BOURG LA REINE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Blomme,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instauré depuis 1997, témoigne d'une présence pérenne et d'une expertise ancrée dans la maîtrise du cœur de métier. Sa structure à taille humaine suggère une approche de proximité avec la clientèle et une gestion rigoureuse des dossiers, où chaque intervention exige une attention particulière portée aux spécificités foncières locales. Cette dimension de conseil personnalisé et de technicité maîtrisée offre un cadre d'exercice stable et exigeant.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Blomme,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