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Bernard Barrere</w:t>
      </w:r>
    </w:p>
    <w:p>
      <w:pPr>
        <w:spacing w:line="240" w:lineRule="auto" w:before="0" w:after="0"/>
        <w:jc w:val="right"/>
      </w:pPr>
      <w:r>
        <w:t>SARL BARRERE-DUFAU Géomètres-Experts</w:t>
      </w:r>
    </w:p>
    <w:p>
      <w:pPr>
        <w:spacing w:line="240" w:lineRule="auto" w:before="0" w:after="0"/>
        <w:jc w:val="right"/>
      </w:pPr>
      <w:r>
        <w:t>147 avenue Paul DOUMER</w:t>
      </w:r>
    </w:p>
    <w:p>
      <w:pPr>
        <w:spacing w:line="240" w:lineRule="auto" w:before="0" w:after="0"/>
        <w:jc w:val="right"/>
      </w:pPr>
      <w:r>
        <w:t>92500 RUEIL MALMAISON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d'expertise 360° qui couvre l'intégralité de la chaîne de valeur immobilière. De la maîtrise des opérations foncières complexes, telles que les divisions et les scissions, à la haute précision technique des relevés 3D et des calculs de volumétries, votre structure démontre une polyvalence remarquable. Cette capacité à allier des prestations de diagnostic technique, incluant la conformité à la Loi Carrez, aux études de projets complexes et à un accompagnement stratégique, témoigne d'une volonté de sécuriser durablement les projets de vos clients. Vous positionnez ainsi le cabinet non seulement comme un exécutant technique, mais comme un partenaire de confiance capable d'apporter des réponses transversales aux problématiques de copropriété, d'urbanisme et de foncier.</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de topographie ou de diagnostic,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Barrere,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