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RENFER et VENANT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capacité à accompagner les projets jusqu'à leur aboutissement par une approche de conseil pointue, dépassant la simple mesure technique. Votre engagement pour la qualité, illustré par vos certifications ISO, ainsi que votre positionnement sur les technologies de pointe comme le BIM et le scan 3D, témoignent d'une volonté de modernisation de la profession. Par ailleurs, la reprise d'activités de cabinets historiques souligne votre attention particulière accordée à la gestion du patrimoine foncier.</w:t>
      </w:r>
    </w:p>
    <w:p>
      <w:pPr>
        <w:spacing w:line="276" w:lineRule="auto" w:before="0" w:after="160"/>
        <w:jc w:val="both"/>
      </w:pPr>
      <w:r>
        <w:t>Mon parcours universitaire m'a doté d'une solide culture de la donnée spatiale et d'une forte capacité d'analyse face aux problématiques complexes. Ma méthode de chercheur m'a appris à traiter des volumes d'informations importants et à synthétiser des données variées. Mon objectif est de mettre cette rigueur méthodologique au service de vos opérations d'aménagement, de mesurage et de conseil, tout en m'appuyant sur mes compétences en SIG et en traitement de données pour appuyer vos réflexions techniques.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