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Trouve</w:t>
      </w:r>
    </w:p>
    <w:p>
      <w:pPr>
        <w:spacing w:line="240" w:lineRule="auto" w:before="0" w:after="0"/>
        <w:jc w:val="right"/>
      </w:pPr>
      <w:r>
        <w:t>SELAS CABINET CHARLEMAGNE</w:t>
      </w:r>
    </w:p>
    <w:p>
      <w:pPr>
        <w:spacing w:line="240" w:lineRule="auto" w:before="0" w:after="0"/>
        <w:jc w:val="right"/>
      </w:pPr>
      <w:r>
        <w:t>2 villa des Longchamps</w:t>
      </w:r>
    </w:p>
    <w:p>
      <w:pPr>
        <w:spacing w:line="240" w:lineRule="auto" w:before="0" w:after="0"/>
        <w:jc w:val="right"/>
      </w:pPr>
      <w:r>
        <w:t>92220 BAGNEUX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Trouve,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CABINET CHARLEMAGNE se distingue par une structure à taille humaine permettant une maîtrise approfondie du cœur du métier. Cette organisation suggère une approche de proximité où la qualité de l'expertise et la précision technique sont primordiales pour chaque dossier traité. Votre cabinet offre ainsi un cadre propice à une immersion complète, où chaque mission nécessite une attention particulière et une rigueur constante dans le suivi des opérations foncières. Cette dimension de proximité, alliée à une expertise technique pointue, correspond parfaitement à l'exigence de professionnalisme que je recherche.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à synthétiser des informations complexes pour faciliter la prise de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Trouve,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