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Franck Bourdon</w:t>
      </w:r>
    </w:p>
    <w:p>
      <w:pPr>
        <w:spacing w:line="240" w:lineRule="auto" w:before="0" w:after="0"/>
        <w:jc w:val="right"/>
      </w:pPr>
      <w:r>
        <w:t>SCP de Géomètres-Experts BOURDON FRAGNE</w:t>
      </w:r>
    </w:p>
    <w:p>
      <w:pPr>
        <w:spacing w:line="240" w:lineRule="auto" w:before="0" w:after="0"/>
        <w:jc w:val="right"/>
      </w:pPr>
      <w:r>
        <w:t>110 av Emile Cossonneau</w:t>
      </w:r>
    </w:p>
    <w:p>
      <w:pPr>
        <w:spacing w:line="240" w:lineRule="auto" w:before="0" w:after="0"/>
        <w:jc w:val="right"/>
      </w:pPr>
      <w:r>
        <w:t>93160 NOISY LE GRAND</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Bourdon,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À l’issue d’un stage d’observation instructif au sein du cabinet de Monsieur Pascal Vailles à Muret,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w:t>
      </w:r>
    </w:p>
    <w:p>
      <w:pPr>
        <w:spacing w:line="276" w:lineRule="auto" w:before="0" w:after="160"/>
        <w:jc w:val="both"/>
      </w:pPr>
      <w:r>
        <w:t>La pérennité de votre cabinet, fondé en 1978, témoigne d'une solide expertise et d'une maîtrise du cœur de métier sur le long terme. Votre structure à taille humaine, forte de six à neuf collaborateurs, permet de concilier une approche de proximité avec vos clients et une transmission de savoir-faire structurée. Cette stabilité constitue pour moi un environnement de travail idéal pour parfaire ma formation et m'intégrer durablement.</w:t>
      </w:r>
    </w:p>
    <w:p>
      <w:pPr>
        <w:spacing w:line="276" w:lineRule="auto" w:before="0" w:after="160"/>
        <w:jc w:val="both"/>
      </w:pPr>
      <w:r>
        <w:t>Mon parcours m'a doté d'une forte culture de la donnée spatiale (topographie, modélisation) et d'une capacité d'analyse. Mon objectif est de mettre cette force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les outils de production m’a permis d’assimiler rapidement les méthodes d’acquisition et de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Bourdon,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