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SELAFA MACKRE</w:t>
      </w:r>
    </w:p>
    <w:p>
      <w:pPr>
        <w:spacing w:line="240" w:lineRule="auto" w:before="0" w:after="0"/>
        <w:jc w:val="right"/>
      </w:pPr>
      <w:r>
        <w:t>17 bd Rouget de l'Isle</w:t>
      </w:r>
    </w:p>
    <w:p>
      <w:pPr>
        <w:spacing w:line="240" w:lineRule="auto" w:before="0" w:after="0"/>
        <w:jc w:val="right"/>
      </w:pPr>
      <w:r>
        <w:t>93100 MONTREUIL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Mon parcours étant éligible,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implantation stratégique sur Montreuil et Le Raincy, témoignant d'une présence ancrée dans des dynamiques territoriales variées. Cette diversité de zones d'intervention, entre zones urbaines denses et environnements périurbains, permet d'appréhender des problématiques foncières variées et des enjeux d'aménagement. Cette couverture géographique souligne une capacité à traiter des dossiers aux spécificités techniques et réglementaires contrastées.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pourra être un atout pour la sécurisation de vos projets.</w:t>
      </w:r>
    </w:p>
    <w:p>
      <w:pPr>
        <w:spacing w:line="276" w:lineRule="auto" w:before="0" w:after="160"/>
        <w:jc w:val="both"/>
      </w:pPr>
      <w:r>
        <w:t>Lors de mon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