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Collet</w:t>
      </w:r>
    </w:p>
    <w:p>
      <w:pPr>
        <w:spacing w:line="240" w:lineRule="auto" w:before="0" w:after="0"/>
        <w:jc w:val="right"/>
      </w:pPr>
      <w:r>
        <w:t>SELAS Cabinet WEISSE Géomètre-Expert</w:t>
      </w:r>
    </w:p>
    <w:p>
      <w:pPr>
        <w:spacing w:line="240" w:lineRule="auto" w:before="0" w:after="0"/>
        <w:jc w:val="right"/>
      </w:pPr>
      <w:r>
        <w:t>48 boulevard Chanzy</w:t>
      </w:r>
    </w:p>
    <w:p>
      <w:pPr>
        <w:spacing w:line="240" w:lineRule="auto" w:before="0" w:after="0"/>
        <w:jc w:val="right"/>
      </w:pPr>
      <w:r>
        <w:t>93190 LIVRY GARGAN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Collet,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WEISSE se distingue par une structure à taille humaine, établie depuis 2002, ce qui témoigne d'une maîtrise consolidée du cœur de métier et d'une approche de proximité avec ses clients. Cette dimension de cabinet de proximité, alliant expertise technique et connaissance fine du territoire de Livry-Gargan, constitue un environnement de travail idéal pour assurer un suivi rigoureux des dossiers complexes et une transmission de savoir-faire de qualité.</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