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Eric Verdier</w:t>
      </w:r>
    </w:p>
    <w:p>
      <w:pPr>
        <w:spacing w:line="240" w:lineRule="auto" w:before="0" w:after="0"/>
        <w:jc w:val="right"/>
      </w:pPr>
      <w:r>
        <w:t>Cabinet VERDIER Eric</w:t>
      </w:r>
    </w:p>
    <w:p>
      <w:pPr>
        <w:spacing w:line="240" w:lineRule="auto" w:before="0" w:after="0"/>
        <w:jc w:val="right"/>
      </w:pPr>
      <w:r>
        <w:t>1 voie Félix Eboué</w:t>
      </w:r>
    </w:p>
    <w:p>
      <w:pPr>
        <w:spacing w:line="240" w:lineRule="auto" w:before="0" w:after="0"/>
        <w:jc w:val="right"/>
      </w:pPr>
      <w:r>
        <w:t>94000 CRETEIL</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Verdier,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complexes, qu’il s’agisse de bornage, de division, de copropriété ou d’aménagement durable.</w:t>
      </w:r>
    </w:p>
    <w:p>
      <w:pPr>
        <w:spacing w:line="276" w:lineRule="auto" w:before="0" w:after="160"/>
        <w:jc w:val="both"/>
      </w:pPr>
      <w:r>
        <w:t>Votre cabinet, établi depuis plus de vingt ans, incarne une structure à taille humaine où la maîtrise du cœur de métier et la proximité avec la clientèle constituent des piliers fondamentaux. Cette organisation permet une approche rigoureuse et personnalisée des problématiques foncières, garantissant une expertise solide et une réactivité constante face aux enjeux du territoire. La dimension humaine de votre structure suggère un environnement propice à une transmission de savoir-faire précise, favorisant une gestion attentive de chaque dossier, de la phase de diagnostic initial jusqu'à la restitution finale.</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et mon goût pour l'analyse historique pourront soutenir vos dossiers.</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complexe. Conscient que la maîtrise opérationnelle s’acquiert par la pratique quotidienne, je suis motivé pour apporter rapidement mon concours technique sur le terrain et en bureau d'études, tout en m'impliquant avec sérieux dans l'apprentissage des spécificités du droit foncier, de la propriété et de l'urbanisme.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Verdier,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