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Lacreuse</w:t>
      </w:r>
    </w:p>
    <w:p>
      <w:pPr>
        <w:spacing w:line="240" w:lineRule="auto" w:before="0" w:after="0"/>
        <w:jc w:val="right"/>
      </w:pPr>
      <w:r>
        <w:t>EURL Cabinet LACREUSE</w:t>
      </w:r>
    </w:p>
    <w:p>
      <w:pPr>
        <w:spacing w:line="240" w:lineRule="auto" w:before="0" w:after="0"/>
        <w:jc w:val="right"/>
      </w:pPr>
      <w:r>
        <w:t>22 rue de Paris</w:t>
      </w:r>
    </w:p>
    <w:p>
      <w:pPr>
        <w:spacing w:line="240" w:lineRule="auto" w:before="0" w:after="0"/>
        <w:jc w:val="right"/>
      </w:pPr>
      <w:r>
        <w:t>94470 BOISSY ST LEGER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Lacreuse,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Cabinet LACREUSE se distingue par une structure à taille humaine qui privilégie une maîtrise approfondie du cœur du métier et une proximité directe avec la clientèle. Dans une organisation telle que la vôtre, la polyvalence et la précision de chaque intervention sont primordiales pour assurer la qualité des prestations. Cette dimension de cabinet de proximité, axée sur la technicité et le conseil personnalisé, constitue un environnement pertinent pour une transmission de savoir-faire rigoureuse et authentique, où chaque dossier bénéficie d'une attention soutenue.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de terrain et de bureau, tout en m'appuyant sur ma méthode de chercheur pour assimiler rapidement le cadre réglementaire et les spécificités du droit foncier. Je conçois ce stage comme un échange de compétences entre la rigueur de la donnée et l'expertise juridique nécessaire à la sécurisation des territoires.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Lacreuse,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