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BERTHELOT</w:t>
      </w:r>
    </w:p>
    <w:p>
      <w:pPr>
        <w:spacing w:line="240" w:lineRule="auto" w:before="0" w:after="0"/>
        <w:jc w:val="right"/>
      </w:pPr>
      <w:r>
        <w:t>SCP Nicolas BERTHELOT</w:t>
      </w:r>
    </w:p>
    <w:p>
      <w:pPr>
        <w:spacing w:line="240" w:lineRule="auto" w:before="0" w:after="0"/>
        <w:jc w:val="right"/>
      </w:pPr>
      <w:r>
        <w:t>19 rue Diderot</w:t>
      </w:r>
    </w:p>
    <w:p>
      <w:pPr>
        <w:spacing w:line="240" w:lineRule="auto" w:before="0" w:after="0"/>
        <w:jc w:val="right"/>
      </w:pPr>
      <w:r>
        <w:t>94300 VINCENNES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au sein d'une structure de référence.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SCP Nicolas BERTHELOT s'inscrit dans une démarche de maîtrise du cœur de métier du géomètre-expert, où la précision technique et la connaissance fine du foncier sont des piliers fondamentaux. Sa présence à Vincennes témoigne d'une expertise ancrée dans un environnement exigeant, privilégiant la sécurité juridique et la fiabilité des prestations. Cette dimension, centrée sur la qualité du conseil et la pérennité des projets, constitue un cadre de référence pour une pratique exigeante. Votre structure offre ainsi un environnement propice à une transmission de savoirs structurée.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Berthelot,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