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w:t>
      </w:r>
    </w:p>
    <w:p>
      <w:pPr>
        <w:spacing w:line="240" w:lineRule="auto" w:before="0" w:after="0"/>
        <w:jc w:val="right"/>
      </w:pPr>
      <w:r>
        <w:t>ARPTEGO GEOMETRE-EXPERT</w:t>
      </w:r>
    </w:p>
    <w:p>
      <w:pPr>
        <w:spacing w:line="240" w:lineRule="auto" w:before="0" w:after="0"/>
        <w:jc w:val="right"/>
      </w:pPr>
      <w:r>
        <w:t>2 rue Delacour</w:t>
      </w:r>
    </w:p>
    <w:p>
      <w:pPr>
        <w:spacing w:line="240" w:lineRule="auto" w:before="0" w:after="0"/>
        <w:jc w:val="right"/>
      </w:pPr>
      <w:r>
        <w:t>95000 PONTOISE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mémoire foncière aiguë du Val-d'Oise, nourrie par des archives centenaires. Cette expertise en délimitation, alliée à une capacité à mener des opérations d'envergure telles que des plans d'alignement ou des politiques publiques de développement territorial, témoigne d'une maîtrise complète du cycle de vie du foncier. Votre approche, qui concilie la préservation du patrimoine et le dynamisme des territoires, ainsi que votre engagement pour la sobriété foncière, reflètent une vision exigeante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