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PICOT MERLINI</w:t>
      </w:r>
    </w:p>
    <w:p>
      <w:pPr>
        <w:spacing w:line="240" w:lineRule="auto" w:before="0" w:after="0"/>
        <w:jc w:val="right"/>
      </w:pPr>
      <w:r>
        <w:t>76 avenue du Général Leclerc</w:t>
      </w:r>
    </w:p>
    <w:p>
      <w:pPr>
        <w:spacing w:line="240" w:lineRule="auto" w:before="0" w:after="0"/>
        <w:jc w:val="right"/>
      </w:pPr>
      <w:r>
        <w:t>95390 ST PRIX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Lamy,</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d’accompagnement global des clients, alliant une présence territoriale forte dans le Val-d'Oise à une polyvalence d'expertises remarquable. La diversité de vos prestations, allant des opérations foncières complexes comme la mise en copropriété ou la division en volumes, aux relevés d'architecture 3D et à la production de maquettes numériques BIM, témoigne d'une volonté d'innovation technologique constante. Votre capacité à conjuguer des prestations de terrain traditionnelles, telles que le bornage et l'implantation, avec des outils numériques de pointe, des relevés de corps de rue et des diagnostics techniques rigoureux, constitue un environnement de travail particulièrement stimulant, exigeant et complet.</w:t>
      </w:r>
    </w:p>
    <w:p>
      <w:pPr>
        <w:spacing w:line="276" w:lineRule="auto" w:before="0" w:after="160"/>
        <w:jc w:val="both"/>
      </w:pPr>
      <w:r>
        <w:t>Mon parcours m'a doté d'une forte culture de la donnée spatiale (topographie, modélisation) et d'une solide capacité d'analyse face aux problématiques complexes, acquise notamment par un travail approfondi sur des archives et des cadres réglementaires.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visant à transformer des informations complexes en solutions de sécurisation foncière.</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sur le terrain jusqu’à la restitution graphique en bureau d'études.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au sein de vos équipes.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Lamy,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