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GEOSAT Normandie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GEOSAT Normandie se distingue par une solide expérience de quarante ans et une capacité à intervenir sur une grande diversité de projets. Le cabinet allie un ancrage territorial fort en Normandie à une dimension nationale, offrant une approche sur-mesure à chaque client. L'intégration de technologies de pointe — notamment le scanner laser 3D, la photogrammétrie et le LiDAR — témoigne d'une volonté d'excellence technique. Cette capacité à conjuguer outils numériques avancés, tels que le SIG, et expertise en maîtrise d'œuvre VRD ou en gestion foncière complexe, constitue un environnement de travail particulièrement complet.</w:t>
      </w:r>
    </w:p>
    <w:p>
      <w:pPr>
        <w:spacing w:line="276" w:lineRule="auto" w:before="0" w:after="160"/>
        <w:jc w:val="both"/>
      </w:pPr>
      <w:r>
        <w:t>Mon parcours universitaire de recherche m'a doté d'une forte culture de la donnée spatiale et d'une solide capacité d'analyse face aux problématiques complexes. Ma sensibilité pour la modélisation et le traitement de données géospatiales s'accompagne d'une méthode de travail rigoureuse, propice à l'assimilation rapide du cadre réglementaire de la profession. Mon objectif est de mettre cette force de production technique au service de vos opérations d'aménagement et d'ingénierie, en m'appuyant sur ma capacité de synthèse pour traiter les dossiers les plus pointus.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 tout en m'imprégnant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