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Le Chapois</w:t>
      </w:r>
    </w:p>
    <w:p>
      <w:pPr>
        <w:spacing w:line="240" w:lineRule="auto" w:before="0" w:after="0"/>
        <w:jc w:val="right"/>
      </w:pPr>
      <w:r>
        <w:t>25 avenue de la République</w:t>
      </w:r>
    </w:p>
    <w:p>
      <w:pPr>
        <w:spacing w:line="240" w:lineRule="auto" w:before="0" w:after="0"/>
        <w:jc w:val="right"/>
      </w:pPr>
      <w:r>
        <w:t>14800 DEAUVILLE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w:t>
      </w:r>
    </w:p>
    <w:p>
      <w:pPr>
        <w:spacing w:line="276" w:lineRule="auto" w:before="0" w:after="160"/>
        <w:jc w:val="both"/>
      </w:pPr>
      <w:r>
        <w:t>Le cabinet LE CHAPOIS se distingue par une approche centrée sur l'utilité réelle des documents produits. Votre présence ancrée sur la Côte Fleurie témoigne d'une compréhension fine des contextes fonciers locaux. La volonté de définir précisément le niveau d'intervention nécessaire — qu'il s'agisse de sécuriser une vente, de documenter un bâti complexe ou de fournir des bases fiables pour des études — illustre une recherche de pertinence constante. Cette exigence de méthode constitue un cadre de travail rigoureux et cohérent.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et de copropriété,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Chapois,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