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Jean-Charles Mesenge</w:t>
      </w:r>
    </w:p>
    <w:p>
      <w:pPr>
        <w:spacing w:line="240" w:lineRule="auto" w:before="0" w:after="0"/>
        <w:jc w:val="right"/>
      </w:pPr>
      <w:r>
        <w:t>Cabinet MGEX</w:t>
      </w:r>
    </w:p>
    <w:p>
      <w:pPr>
        <w:spacing w:line="240" w:lineRule="auto" w:before="0" w:after="0"/>
        <w:jc w:val="right"/>
      </w:pPr>
      <w:r>
        <w:t>QUARTIER KOENING 140 RUE DE PHILIPPE LIVRY LEVEL</w:t>
      </w:r>
    </w:p>
    <w:p>
      <w:pPr>
        <w:spacing w:line="240" w:lineRule="auto" w:before="0" w:after="0"/>
        <w:jc w:val="right"/>
      </w:pPr>
      <w:r>
        <w:t>14760 BRETTEVILLE SUR ODON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Mesenge,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MGEX se distingue par son dynamisme actuel et son ancrage territorial fort en Normandie, couvrant divers départements. Votre capacité à accompagner des projets variés, à la croisée des secteurs ruraux et des grandes agglomérations, témoigne d'une polyvalence essentielle. Votre volonté d'offrir un accompagnement de proximité, en tant que partenaire privilégié des projets fonciers et urbains, reflète une approche humaine et rigoureuse de la profession. Votre récent développement souligne une volonté de croissance structurée, visant à offrir un cadre adapté pour sécuriser les projets de vos partenaires avec confiance.</w:t>
      </w:r>
    </w:p>
    <w:p>
      <w:pPr>
        <w:spacing w:line="276" w:lineRule="auto" w:before="0" w:after="160"/>
        <w:jc w:val="both"/>
      </w:pPr>
      <w:r>
        <w:t>Mon parcours m'a doté d'une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Mesenge,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