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MOSAÏC</w:t>
      </w:r>
    </w:p>
    <w:p>
      <w:pPr>
        <w:spacing w:line="240" w:lineRule="auto" w:before="0" w:after="0"/>
        <w:jc w:val="right"/>
      </w:pPr>
      <w:r>
        <w:t>15 avenue de Cambridge BP 60269, 14209 HEROUVILLE ST CLAIR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forte, où la synergie entre les métiers de géomètre-expert, d’ingénieur VRD et de paysagiste-concepteur permet d'apporter des réponses globalisées et concrètes à des projets de toutes tailles. Cette capacité à accompagner une typologie de clientèle variée, des collectivités aux promoteurs, sur l'ensemble de la chaîne de valeur — de la gestion des eaux pluviales à la valorisation du patrimoine, en passant par les diagnostics urbains, les travaux fonciers et la conception de trames vertes et bleues — témoigne d'une vision transversale de l'espace. Cette volonté d'allier les compétences pour composer l'espace urbain et paysager, notamment dans la réhabilitation de lieux dégradés ou la valorisation du patrimoine, est au cœur de votre offre de services.</w:t>
      </w:r>
    </w:p>
    <w:p>
      <w:pPr>
        <w:spacing w:line="276" w:lineRule="auto" w:before="0" w:after="160"/>
        <w:jc w:val="both"/>
      </w:pPr>
      <w:r>
        <w:t>Mon parcours universitaire de recherche m'a doté d'une solide capacité d'analyse face aux problématiques complexes et d'une culture approfondie de la donnée spatiale. Ma formation me permet d'aborder sereinement le travail sur archives et d'assimiler avec rigueur les cadres réglementaires de la profession, tels que les règles d'urbanisme ou le droit foncier. Mon objectif est de mettre cette force de production technique, incluant une sensibilité pour les outils de modélisation, de relevé par scanner et de traitement de données via SIG ou programmation, au service de vos opérations d'aménagement. Je conçois ce stage comme un véritable échange de compétences entre la précision de la donnée et l'expertise métier, où ma méthode de chercheur servira à sécuriser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