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Olivia Davrinche (Loiseau)</w:t>
      </w:r>
    </w:p>
    <w:p>
      <w:pPr>
        <w:spacing w:line="240" w:lineRule="auto" w:before="0" w:after="0"/>
        <w:jc w:val="right"/>
      </w:pPr>
      <w:r>
        <w:t>Cabinet OGEX</w:t>
      </w:r>
    </w:p>
    <w:p>
      <w:pPr>
        <w:spacing w:line="240" w:lineRule="auto" w:before="0" w:after="0"/>
        <w:jc w:val="right"/>
      </w:pPr>
      <w:r>
        <w:t>Allée du Bel Ebat</w:t>
      </w:r>
    </w:p>
    <w:p>
      <w:pPr>
        <w:spacing w:line="240" w:lineRule="auto" w:before="0" w:after="0"/>
        <w:jc w:val="right"/>
      </w:pPr>
      <w:r>
        <w:t>27000 EVREUX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OGEX, par sa structure récente et son ancrage local, incarne une approche exigeante du métier où la maîtrise du cœur de la profession est primordiale. Votre organisation permet d'appréhender les enjeux fondamentaux du foncier avec une proximité nécessaire à la qualité des prestations techniques et juridiques délivrées aux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