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Homont</w:t>
      </w:r>
    </w:p>
    <w:p>
      <w:pPr>
        <w:spacing w:line="240" w:lineRule="auto" w:before="0" w:after="0"/>
        <w:jc w:val="right"/>
      </w:pPr>
      <w:r>
        <w:t>Cabinet Guillaume HOMONT</w:t>
      </w:r>
    </w:p>
    <w:p>
      <w:pPr>
        <w:spacing w:line="240" w:lineRule="auto" w:before="0" w:after="0"/>
        <w:jc w:val="right"/>
      </w:pPr>
      <w:r>
        <w:t>12 Espace des Foudriots BP 32</w:t>
      </w:r>
    </w:p>
    <w:p>
      <w:pPr>
        <w:spacing w:line="240" w:lineRule="auto" w:before="0" w:after="0"/>
        <w:jc w:val="right"/>
      </w:pPr>
      <w:r>
        <w:t>76410 ST AUBIN LES ELBEUF</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Homont,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et son organisation structurée, témoigne d'une maîtrise approfondie du cœur de métier. Je suis particulièrement attentif aux structures qui privilégient une approche de proximité, où la qualité de la prestation repose sur une connaissance fine des enjeux locaux et un accompagnement rigoureux des clients. Cette dimension de cabinet à taille humaine garantit une transmission de savoir-faire directe et une attention particulière portée à chaque prestation technique et juridique.</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Homont,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