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Stéphane Lechene</w:t>
      </w:r>
    </w:p>
    <w:p>
      <w:pPr>
        <w:spacing w:line="240" w:lineRule="auto" w:before="0" w:after="0"/>
        <w:jc w:val="right"/>
      </w:pPr>
      <w:r>
        <w:t>Cabinet LECHENE et Associés</w:t>
      </w:r>
    </w:p>
    <w:p>
      <w:pPr>
        <w:spacing w:line="240" w:lineRule="auto" w:before="0" w:after="0"/>
        <w:jc w:val="right"/>
      </w:pPr>
      <w:r>
        <w:t>17 avenue du Maréchal Foch BP 50061</w:t>
      </w:r>
    </w:p>
    <w:p>
      <w:pPr>
        <w:spacing w:line="240" w:lineRule="auto" w:before="0" w:after="0"/>
        <w:jc w:val="right"/>
      </w:pPr>
      <w:r>
        <w:t>76210 BOLBEC</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cabinet.</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w:t>
      </w:r>
    </w:p>
    <w:p>
      <w:pPr>
        <w:spacing w:line="276" w:lineRule="auto" w:before="0" w:after="160"/>
        <w:jc w:val="both"/>
      </w:pPr>
      <w:r>
        <w:t>Votre cabinet se distingue par une alliance entre une solide séniorité, portée par des collaborateurs forts de plus de vingt ans d'expérience, et une volonté constante d'intégrer des technologies innovantes telles que le scanner 3D et le drone. Cette capacité à conjuguer le savoir-faire traditionnel aux outils de pointe garantit une précision rigoureuse et une fiabilité exemplaire dans une large palette de missions : de la délimitation foncière aux projets de division en volumes, en passant par la modélisation 3D d'équipements industriels et la production d'orthophotoplans. L'approche centrée sur l'accompagnement personnalisé et la réactivité témoigne d'un engagement fort pour la qualité des solutions proposées.</w:t>
      </w:r>
    </w:p>
    <w:p>
      <w:pPr>
        <w:spacing w:line="276" w:lineRule="auto" w:before="0" w:after="160"/>
        <w:jc w:val="both"/>
      </w:pPr>
      <w:r>
        <w:t>Mon parcours universitaire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Lechene,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