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GE360</w:t>
      </w:r>
    </w:p>
    <w:p>
      <w:pPr>
        <w:spacing w:line="240" w:lineRule="auto" w:before="0" w:after="0"/>
        <w:jc w:val="right"/>
      </w:pPr>
      <w:r>
        <w:t>1042 rue Augustin FRESNEL ZAC Plaine de la Ronce, 76230 BOIS GUILLAUME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maillage territorial stratégique, avec des implantations à Dieppe, Saint-Valery-en-Caux et Bois-Guillaume. Cette présence multi-sites témoigne d'une capacité à intervenir sur une grande diversité de contextes, mêlant enjeux urbains, ruraux et littoraux. Cette polyvalence géographique implique une maîtrise fine des spécificités foncières propres à chaque territoire, garantissant une approche nuancée et adaptée aux enjeux variés de vos clients, qu'ils soient liés au développement local, à la gestion de patrimoines spécifiques ou à des projets d'aménagement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