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Rémy Jean-Pierre François Bonnaud</w:t>
      </w:r>
    </w:p>
    <w:p>
      <w:pPr>
        <w:spacing w:line="240" w:lineRule="auto" w:before="0" w:after="0"/>
        <w:jc w:val="right"/>
      </w:pPr>
      <w:r>
        <w:t>Cabinet EXPAIRE SELAS EXPAIRE</w:t>
      </w:r>
    </w:p>
    <w:p>
      <w:pPr>
        <w:spacing w:line="240" w:lineRule="auto" w:before="0" w:after="0"/>
        <w:jc w:val="right"/>
      </w:pPr>
      <w:r>
        <w:t>29, Rue Victor Hugo</w:t>
      </w:r>
    </w:p>
    <w:p>
      <w:pPr>
        <w:spacing w:line="240" w:lineRule="auto" w:before="0" w:after="0"/>
        <w:jc w:val="right"/>
      </w:pPr>
      <w:r>
        <w:t>16400 LA COURONNE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EXPAIRE SELAS EXPAIRE se distingue par une approche centrée sur la satisfaction du client et une volonté d'offrir une réelle tranquillité d'esprit face aux complexités foncières. Votre engagement pour le strict respect des réglementations, notamment la loi du 7 mai 1946, témoigne d'une expertise solide visant à sécuriser les projets de vos interlocuteurs. J'apprécie particulièrement votre positionnement de partenaire, privilégiant l'accompagnement personnalisé et la réactivité dans la gestion des opérations de division, de bornage ou de copropriété en Charente.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