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Frédéric Claude Leger</w:t>
      </w:r>
    </w:p>
    <w:p>
      <w:pPr>
        <w:spacing w:line="240" w:lineRule="auto" w:before="0" w:after="0"/>
        <w:jc w:val="right"/>
      </w:pPr>
      <w:r>
        <w:t>SARL HETERIA</w:t>
      </w:r>
    </w:p>
    <w:p>
      <w:pPr>
        <w:spacing w:line="240" w:lineRule="auto" w:before="0" w:after="0"/>
        <w:jc w:val="right"/>
      </w:pPr>
      <w:r>
        <w:t>14, route d'Aigre</w:t>
      </w:r>
    </w:p>
    <w:p>
      <w:pPr>
        <w:spacing w:line="240" w:lineRule="auto" w:before="0" w:after="0"/>
        <w:jc w:val="right"/>
      </w:pPr>
      <w:r>
        <w:t>16700 RUFFEC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HETERIA présente une structure solide et pérenne, ancrée dans son territoire depuis 2009. Avec une équipe de taille humaine, votre cabinet semble privilégier une maîtrise du cœur de métier alliée à une proximité essentielle avec vos clients. Cette organisation permet de garantir une expertise de proximité tout en assurant la diversité des interventions requises par les enjeux fonciers locaux, offrant ainsi un cadre d'exercice équilibré entre technicité opérationnelle, rigueur et gestion de projets variés.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notamment par mon expérience en recherche sur l'urbanisme et les archives.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Leger,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