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Guinard</w:t>
      </w:r>
    </w:p>
    <w:p>
      <w:pPr>
        <w:spacing w:line="240" w:lineRule="auto" w:before="0" w:after="0"/>
        <w:jc w:val="right"/>
      </w:pPr>
      <w:r>
        <w:t>GUINARD Bruno SCP</w:t>
      </w:r>
    </w:p>
    <w:p>
      <w:pPr>
        <w:spacing w:line="240" w:lineRule="auto" w:before="0" w:after="0"/>
        <w:jc w:val="right"/>
      </w:pPr>
      <w:r>
        <w:t>37 rue de la Manche BP 70090</w:t>
      </w:r>
    </w:p>
    <w:p>
      <w:pPr>
        <w:spacing w:line="240" w:lineRule="auto" w:before="0" w:after="0"/>
        <w:jc w:val="right"/>
      </w:pPr>
      <w:r>
        <w:t>17206 ROYAN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Guinard,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Guinard Bruno SCP se distingue par une approche ancrée dans la maîtrise du cœur de métier et une présence confirmée sur le territoire de Royan. Cette structure, qui privilégie la qualité de l'accompagnement technique et la précision des interventions, offre un cadre idéal pour appréhender la diversité des problématiques foncières locales. Votre expertise repose sur une connaissance fine du terrain et une rigueur constante, des valeurs que je souhaite soutenir en m'intégrant à votre équipe.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