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Albert Julien Renaudin</w:t>
      </w:r>
    </w:p>
    <w:p>
      <w:pPr>
        <w:spacing w:line="240" w:lineRule="auto" w:before="0" w:after="0"/>
        <w:jc w:val="right"/>
      </w:pPr>
      <w:r>
        <w:t>RENAUDIN Vincent EURL</w:t>
      </w:r>
    </w:p>
    <w:p>
      <w:pPr>
        <w:spacing w:line="240" w:lineRule="auto" w:before="0" w:after="0"/>
        <w:jc w:val="right"/>
      </w:pPr>
      <w:r>
        <w:t>115 rue de la Juillerie</w:t>
      </w:r>
    </w:p>
    <w:p>
      <w:pPr>
        <w:spacing w:line="240" w:lineRule="auto" w:before="0" w:after="0"/>
        <w:jc w:val="right"/>
      </w:pPr>
      <w:r>
        <w:t>17170 FERRIERES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dimension humaine et sa proximité, caractéristiques d'une structure indépendante où la maîtrise du cœur de métier est primordiale. Cette organisation à taille humaine permet une approche rigoureuse et personnalisée de chaque dossier, garantissant une expertise technique de qualité au service d'une relation de confiance avec les usagers. Cette attention portée à la précision et à la qualité du conseil constitue le socle de la profession.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Lors de ma récente immersion en cabinet, j’ai surtout pu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Renaudin,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