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Florence CORGNET</w:t>
      </w:r>
    </w:p>
    <w:p>
      <w:pPr>
        <w:spacing w:line="240" w:lineRule="auto" w:before="0" w:after="0"/>
        <w:jc w:val="right"/>
      </w:pPr>
      <w:r>
        <w:t>SARL Florence CORGNET</w:t>
      </w:r>
    </w:p>
    <w:p>
      <w:pPr>
        <w:spacing w:line="240" w:lineRule="auto" w:before="0" w:after="0"/>
        <w:jc w:val="right"/>
      </w:pPr>
      <w:r>
        <w:t>27 rue du Docteur Bardon</w:t>
      </w:r>
    </w:p>
    <w:p>
      <w:pPr>
        <w:spacing w:line="240" w:lineRule="auto" w:before="0" w:after="0"/>
        <w:jc w:val="right"/>
      </w:pPr>
      <w:r>
        <w:t>19100 BRIVE LA GAILLARDE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 pour contribuer activement à vos projets d'envergure.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 Cette double exigence de précision et de compréhension du droit foncier est au cœur de mon projet professionnel.</w:t>
      </w:r>
    </w:p>
    <w:p>
      <w:pPr>
        <w:spacing w:line="276" w:lineRule="auto" w:before="0" w:after="160"/>
        <w:jc w:val="both"/>
      </w:pPr>
      <w:r>
        <w:t>Votre cabinet, implanté à Brive-la-Gaillarde et à Objat, témoigne d'une présence ancrée dans la diversité des territoires du département. Cette double implantation suggère une expertise variée, couvrant aussi bien les enjeux urbains que les spécificités des zones rurales. Cette polyvalence géographique et technique constitue un cadre idéal pour appréhender la pluralité des problématiques foncières et pour comprendre les particularités liées aux différents types d'aménagements territoriaux. C'est cette approche globale du territoire, alliant proximité et maîtrise technique, qui motive mon souhait de rejoindre votre structure.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