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SELAS SOTEC PLANS</w:t>
      </w:r>
    </w:p>
    <w:p>
      <w:pPr>
        <w:spacing w:line="240" w:lineRule="auto" w:before="0" w:after="0"/>
        <w:jc w:val="right"/>
      </w:pPr>
      <w:r>
        <w:t>58 avenue du 18 Juin</w:t>
      </w:r>
    </w:p>
    <w:p>
      <w:pPr>
        <w:spacing w:line="240" w:lineRule="auto" w:before="0" w:after="0"/>
        <w:jc w:val="right"/>
      </w:pPr>
      <w:r>
        <w:t>19100 BRIVE LA GAILLARDE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universitaire,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 et de contribuer à vos projets de terrain.</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 Cette double compétence est, à mes yeux, le cœur de la profession.</w:t>
      </w:r>
    </w:p>
    <w:p>
      <w:pPr>
        <w:spacing w:line="276" w:lineRule="auto" w:before="0" w:after="160"/>
        <w:jc w:val="both"/>
      </w:pPr>
      <w:r>
        <w:t>Votre cabinet se distingue par une organisation multisites structurée couvrant des territoires variés, notamment à Brive-la-Gaillarde, Tulle et Le Mans. Cette implantation géographique étendue témoigne d'une capacité à intervenir sur des contextes géographiques diversifiés, allant du milieu rural aux zones urbaines, et d'une maîtrise des enjeux spécifiques à chaque zone d'activité. Cette polyvalence territoriale, alliée à une structure solide de plus de vingt collaborateurs, garantit une approche globale des problématiques foncières et une expertise ancrée dans la réalité de multiples environnements, offrant une vision transversale des enjeux d'aménagement.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levier pour traiter des dossiers techniques exigeants.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