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Matthieu Morel</w:t>
      </w:r>
    </w:p>
    <w:p>
      <w:pPr>
        <w:spacing w:line="240" w:lineRule="auto" w:before="0" w:after="0"/>
        <w:jc w:val="right"/>
      </w:pPr>
      <w:r>
        <w:t>SARL ARPENTERRE</w:t>
      </w:r>
    </w:p>
    <w:p>
      <w:pPr>
        <w:spacing w:line="240" w:lineRule="auto" w:before="0" w:after="0"/>
        <w:jc w:val="right"/>
      </w:pPr>
      <w:r>
        <w:t>57, avenue Louis Laroche</w:t>
      </w:r>
    </w:p>
    <w:p>
      <w:pPr>
        <w:spacing w:line="240" w:lineRule="auto" w:before="0" w:after="0"/>
        <w:jc w:val="right"/>
      </w:pPr>
      <w:r>
        <w:t>23000 GUERET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présente une implantation structurée entre Aubusson et Guéret, témoignant d'une présence solide sur le territoire creusois depuis 2005. Cette double implantation géographique suggère une grande diversité de problématiques, allant de la gestion foncière en milieu rural à l'accompagnement technique des projets d'aménagement urbain. La pérennité de votre structure et la taille de vos équipes reflètent une maîtrise approfondie du cœur de métier, alliant une expertise de proximité à une capacité à gérer des dossiers complexes et variés.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