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Linares</w:t>
      </w:r>
    </w:p>
    <w:p>
      <w:pPr>
        <w:spacing w:line="240" w:lineRule="auto" w:before="0" w:after="0"/>
        <w:jc w:val="right"/>
      </w:pPr>
      <w:r>
        <w:t>LINARES FONCIER CONSEIL SASU</w:t>
      </w:r>
    </w:p>
    <w:p>
      <w:pPr>
        <w:spacing w:line="240" w:lineRule="auto" w:before="0" w:after="0"/>
        <w:jc w:val="right"/>
      </w:pPr>
      <w:r>
        <w:t>56, route de Perigueux</w:t>
      </w:r>
    </w:p>
    <w:p>
      <w:pPr>
        <w:spacing w:line="240" w:lineRule="auto" w:before="0" w:after="0"/>
        <w:jc w:val="right"/>
      </w:pPr>
      <w:r>
        <w:t>24430 ANNESSE ET BEAULIEU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ou d’aménagement durable.</w:t>
      </w:r>
    </w:p>
    <w:p>
      <w:pPr>
        <w:spacing w:line="276" w:lineRule="auto" w:before="0" w:after="160"/>
        <w:jc w:val="both"/>
      </w:pPr>
      <w:r>
        <w:t>Votre cabinet, Linares Foncier Conseil, se distingue par une approche de conseil centrée sur la gestion foncière et la sécurisation du patrimoine. Votre implantation à Annesse et Beaulieu témoigne d'une volonté de proximité avec les acteurs du territoire, offrant une expertise pointue pour structurer les projets fonciers et accompagner les décisions complexes liées à la propriété. Cette dimension de conseil, alliant expertise de terrain et accompagnement stratégique, est au cœur de votre pratique et correspond à une vision du métier que je souhaite approfondir.</w:t>
      </w:r>
    </w:p>
    <w:p>
      <w:pPr>
        <w:spacing w:line="276" w:lineRule="auto" w:before="0" w:after="160"/>
        <w:jc w:val="both"/>
      </w:pPr>
      <w:r>
        <w:t>Mon parcours m'a doté d'une forte culture de la donnée spatiale, incluant la topographie et la modélisation, ainsi que d'une solide capacité d'analyse face aux problématiques complexes. Mon objectif est de mettre cette force de production technique au service de vos opérations d'aménagement et de conseil, tout en m'appuyant sur ma méthode de chercheur pour assimiler rapidement le cadre réglementaire de la profession. Je conçois ce stage comme un véritable échange de compétences entre la rigueur de la donnée et l'expertise du droit foncier, où la précision technique sert la sécurité juridique des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Linares,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