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NICOLAS DESCAMP GEOMETRE EXPERT</w:t>
      </w:r>
    </w:p>
    <w:p>
      <w:pPr>
        <w:spacing w:line="240" w:lineRule="auto" w:before="0" w:after="0"/>
        <w:jc w:val="right"/>
      </w:pPr>
      <w:r>
        <w:t>27, place Alfred Agard, 24300 NONTRON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Descamp,</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rigoureuse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 sur le long terme.</w:t>
      </w:r>
    </w:p>
    <w:p>
      <w:pPr>
        <w:spacing w:line="276" w:lineRule="auto" w:before="0" w:after="160"/>
        <w:jc w:val="both"/>
      </w:pPr>
      <w:r>
        <w:t>Votre cabinet, implanté à Nontron et à Périgueux, témoigne d'une volonté de proximité et d'ancrage sur un territoire spécifique. Cette structure à taille humaine permet une gestion rigoureuse et attentive des dossiers fonciers tout en offrant une diversité d'interventions sur des périmètres variés, allant du milieu rural aux zones plus urbanisées. La double implantation souligne une organisation capable de répondre aux enjeux locaux de manière agile et réactive, garantissant une qualité de service ancrée dans les réalités du terrain tout en valorisant la maîtrise du cœur du métier.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rigoureuse pour assimiler rapidement le cadre réglementaire de la profession. Je conçois ce stage comme un véritable échange de compétences entre la rigueur de la donnée et l'expertise du droit foncier, où ma capacité de synthèse et ma rigueur intellectuelle seront des atouts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Descamp,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