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Maxime Dykman</w:t>
      </w:r>
    </w:p>
    <w:p>
      <w:pPr>
        <w:spacing w:line="240" w:lineRule="auto" w:before="0" w:after="0"/>
        <w:jc w:val="right"/>
      </w:pPr>
      <w:r>
        <w:t>17, rue de Rivière Résidence Tivoli Hall B, 33000 BORDEAUX</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Dykman,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Suite à un stage d'observation au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expertise pointue dans la gestion de projets immobiliers complexes, notamment via la création de copropriétés et la rédaction d'actes juridiques précis. Votre approche, centrée sur la sécurité juridique et la qualité du conseil, témoigne d'une volonté d'accompagner chaque client comme un partenaire de confiance. Cette attention particulière portée aux spécificités de chaque bien, alliée à une maîtrise rigoureuse du droit foncier et des relevés architecturaux 3D, illustre une pratique du métier où la technicité sert directement la sécurisation des projets et la valorisation du patrimoine.</w:t>
      </w:r>
    </w:p>
    <w:p>
      <w:pPr>
        <w:spacing w:line="276" w:lineRule="auto" w:before="0" w:after="160"/>
        <w:jc w:val="both"/>
      </w:pPr>
      <w:r>
        <w:t>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technique au service de vos opérations d'aménagement, tout en m'appuyant sur ma méthode de chercheur pour assimiler rapidement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Dykman,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