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Bernard Jean Charles Inguere</w:t>
      </w:r>
    </w:p>
    <w:p>
      <w:pPr>
        <w:spacing w:line="240" w:lineRule="auto" w:before="0" w:after="0"/>
        <w:jc w:val="right"/>
      </w:pPr>
      <w:r>
        <w:t>Cabinet INGUERE Bernard</w:t>
      </w:r>
    </w:p>
    <w:p>
      <w:pPr>
        <w:spacing w:line="240" w:lineRule="auto" w:before="0" w:after="0"/>
        <w:jc w:val="right"/>
      </w:pPr>
      <w:r>
        <w:t>63 cours du Maréchal Leclerc</w:t>
      </w:r>
    </w:p>
    <w:p>
      <w:pPr>
        <w:spacing w:line="240" w:lineRule="auto" w:before="0" w:after="0"/>
        <w:jc w:val="right"/>
      </w:pPr>
      <w:r>
        <w:t>33850 LEOGNAN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Inguere,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INGUERE Bernard se distingue par une implantation établie depuis 1988 et une structure à taille humaine, ce qui témoigne d'une maîtrise approfondie du cœur de métier et d'une connaissance solide des enjeux fonciers locaux. Dans un tel environnement, la proximité avec les clients et la qualité du suivi technique apparaissent comme des piliers essentiels de l'exercice professionnel, garantissant une approche rigoureuse, humaine et personnalisée de chaque dossier.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sensibilité aux outils numériques pourra soutenir vos objectifs de précision.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Inguere,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