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Florent Joseph Morellet</w:t>
      </w:r>
    </w:p>
    <w:p>
      <w:pPr>
        <w:spacing w:line="240" w:lineRule="auto" w:before="0" w:after="0"/>
        <w:jc w:val="right"/>
      </w:pPr>
      <w:r>
        <w:t>Cabinet MORELLET Florent URBIS FONCIER</w:t>
      </w:r>
    </w:p>
    <w:p>
      <w:pPr>
        <w:spacing w:line="240" w:lineRule="auto" w:before="0" w:after="0"/>
        <w:jc w:val="right"/>
      </w:pPr>
      <w:r>
        <w:t>13, impasse Peybouquey</w:t>
      </w:r>
    </w:p>
    <w:p>
      <w:pPr>
        <w:spacing w:line="240" w:lineRule="auto" w:before="0" w:after="0"/>
        <w:jc w:val="right"/>
      </w:pPr>
      <w:r>
        <w:t>33400 TALENCE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Morellet,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MORELLET Florent URBIS FONCIER se distingue par une structure à taille humaine, permettant une approche de proximité et une maîtrise rigoureuse du cœur de métier. Cette organisation favorise une gestion attentive de chaque dossier et une expertise pointue, garantissant une qualité de service constante. Votre ancrage local et votre capacité à mener des missions précises reflètent une exigence professionnelle que je souhaite rejoindre.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Morellet,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