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Anais Deschamps</w:t>
      </w:r>
    </w:p>
    <w:p>
      <w:pPr>
        <w:spacing w:line="240" w:lineRule="auto" w:before="0" w:after="0"/>
        <w:jc w:val="right"/>
      </w:pPr>
      <w:r>
        <w:t>OGEO SELARL DE GEOMETRES-EXPERTS</w:t>
      </w:r>
    </w:p>
    <w:p>
      <w:pPr>
        <w:spacing w:line="240" w:lineRule="auto" w:before="0" w:after="0"/>
        <w:jc w:val="right"/>
      </w:pPr>
      <w:r>
        <w:t>1193, rue de Papon</w:t>
      </w:r>
    </w:p>
    <w:p>
      <w:pPr>
        <w:spacing w:line="240" w:lineRule="auto" w:before="0" w:after="0"/>
        <w:jc w:val="right"/>
      </w:pPr>
      <w:r>
        <w:t>33620 CAVIGNAC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2007, témoigne d'une solide assise et d'une maîtrise éprouvée du cœur de métier de la géométrie-expertise. La taille humaine de votre structure suggère une organisation où la proximité et la qualité du suivi des dossiers sont primordiales. Cette pérennité au sein du paysage professionnel local garantit un environnement de travail stable, idéal pour appréhender la diversité des problématiques foncières avec une approche rigoureuse et maîtrisée.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