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la direction de la SARL ECTAUR EXPERT</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d'une structure dynamique.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La SARL ECTAUR EXPERT se distingue par une solide implantation territoriale couvrant quatre départements, témoignant d'une capacité à intervenir sur une grande diversité de contextes, tant ruraux qu'urbains. Votre cabinet allie une légitimité historique, héritière de savoir-faire établis depuis plusieurs décennies, à une volonté d'évolution constante, notamment à travers la création de votre bureau d’études VRD et l'intégration de technologies de pointe comme le BIM ou l'auscultation par drone. Cette dualité entre pérennité des métiers du foncier et modernité des outils d'ingénierie, appliquée à des projets d'envergure tels que les travaux d'aménagement foncier en cours dans les Hautes-Pyrénées ou en Dordogne, souligne une expertise technique et une vision stratégique du territoire.</w:t>
      </w:r>
    </w:p>
    <w:p>
      <w:pPr>
        <w:spacing w:line="276" w:lineRule="auto" w:before="0" w:after="160"/>
        <w:jc w:val="both"/>
      </w:pPr>
      <w:r>
        <w:t>Mon parcours académique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 en mobilisant ma capacité de synthèse pour traiter les dossiers les plus complexes.</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