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Fabrice De Faveri</w:t>
      </w:r>
    </w:p>
    <w:p>
      <w:pPr>
        <w:spacing w:line="240" w:lineRule="auto" w:before="0" w:after="0"/>
        <w:jc w:val="right"/>
      </w:pPr>
      <w:r>
        <w:t>SARL PARALLELE 45 GEOMETRES-EXPERTS ASSOCIES</w:t>
      </w:r>
    </w:p>
    <w:p>
      <w:pPr>
        <w:spacing w:line="240" w:lineRule="auto" w:before="0" w:after="0"/>
        <w:jc w:val="right"/>
      </w:pPr>
      <w:r>
        <w:t>65 av de la Côte d'Argent BP 5</w:t>
      </w:r>
    </w:p>
    <w:p>
      <w:pPr>
        <w:spacing w:line="240" w:lineRule="auto" w:before="0" w:after="0"/>
        <w:jc w:val="right"/>
      </w:pPr>
      <w:r>
        <w:t>33680 LACANAU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 Faveri,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manifeste d'innovation et une maîtrise avancée des technologies de pointe, notamment en BIM, en numérisation 3D et en solutions UAV. Cette capacité à porter des projets de grande envergure, tant à l'échelle nationale qu'internationale, témoigne d'un dynamisme technologique constant. Votre approche, qui place le dialogue et la transparence au service de projets complexes pour des publics variés, reflète une exigence de précision et une volonté d'évolution permanente.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De Faveri,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