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Annabelle Prieur</w:t>
      </w:r>
    </w:p>
    <w:p>
      <w:pPr>
        <w:spacing w:line="240" w:lineRule="auto" w:before="0" w:after="0"/>
        <w:jc w:val="right"/>
      </w:pPr>
      <w:r>
        <w:t>SASU TERRA PROXIMA</w:t>
      </w:r>
    </w:p>
    <w:p>
      <w:pPr>
        <w:spacing w:line="240" w:lineRule="auto" w:before="0" w:after="0"/>
        <w:jc w:val="right"/>
      </w:pPr>
      <w:r>
        <w:t>7, avenue de l'Actipôle</w:t>
      </w:r>
    </w:p>
    <w:p>
      <w:pPr>
        <w:spacing w:line="240" w:lineRule="auto" w:before="0" w:after="0"/>
        <w:jc w:val="right"/>
      </w:pPr>
      <w:r>
        <w:t>33470 GUJAN MESTRAS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qui allie la technicité de l'ingénieur à une mission de conseil stratégique pour la valorisation et la sécurisation du patrimoine foncier. Votre ancrage local sur le Bassin d'Arcachon et le Val de l'Eyre, combiné à une expertise reconnue en aménagement de quartiers, en copropriété et en VRD, témoigne d'une maîtrise approfondie du cœur de métier. Cette volonté de garantir la sécurité juridique tout en accompagnant le développement durable du territoire constitue un cadre d'exercice exigeant et structuré.</w:t>
      </w:r>
    </w:p>
    <w:p>
      <w:pPr>
        <w:spacing w:line="276" w:lineRule="auto" w:before="0" w:after="160"/>
        <w:jc w:val="both"/>
      </w:pPr>
      <w:r>
        <w:t>Mon parcours m'a doté d'une forte culture de la donnée spatiale, en topographie et en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