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Escande</w:t>
      </w:r>
    </w:p>
    <w:p>
      <w:pPr>
        <w:spacing w:line="240" w:lineRule="auto" w:before="0" w:after="0"/>
        <w:jc w:val="right"/>
      </w:pPr>
      <w:r>
        <w:t>SCP Philippe ESCANDE</w:t>
      </w:r>
    </w:p>
    <w:p>
      <w:pPr>
        <w:spacing w:line="240" w:lineRule="auto" w:before="0" w:after="0"/>
        <w:jc w:val="right"/>
      </w:pPr>
      <w:r>
        <w:t>46 route de Roaillan</w:t>
      </w:r>
    </w:p>
    <w:p>
      <w:pPr>
        <w:spacing w:line="240" w:lineRule="auto" w:before="0" w:after="0"/>
        <w:jc w:val="right"/>
      </w:pPr>
      <w:r>
        <w:t>33210 LANGON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Escande,</w:t>
      </w:r>
    </w:p>
    <w:p>
      <w:pPr>
        <w:spacing w:line="276" w:lineRule="auto" w:before="0" w:after="160"/>
        <w:jc w:val="both"/>
      </w:pPr>
      <w:r>
        <w:t>Actuellement engagé dans une reconversion professionnelle vers le métier de géomètre-expert, je prépare ma candidature à la session DPLG d'octobre 2026. Je recherche 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L'implantation de votre cabinet sur plusieurs sites, à Langon, La Réole et Bazas, témoigne d'une présence significative sur une diversité de territoires. Cette présence suggère une maîtrise de problématiques variées, allant des zones rurales aux contextes urbains, et d'une capacité d'adaptation aux spécificités foncières de chaque zone d'intervention. La pérennité de votre structure, établie depuis 1989, souligne également une expertise solide et une connaissance approfondie des enjeux territoriaux locaux.</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Escande,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