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Gaël Stéphane Raynaud</w:t>
      </w:r>
    </w:p>
    <w:p>
      <w:pPr>
        <w:spacing w:line="240" w:lineRule="auto" w:before="0" w:after="0"/>
        <w:jc w:val="right"/>
      </w:pPr>
      <w:r>
        <w:t>SCP RAYNAUD</w:t>
      </w:r>
    </w:p>
    <w:p>
      <w:pPr>
        <w:spacing w:line="240" w:lineRule="auto" w:before="0" w:after="0"/>
        <w:jc w:val="right"/>
      </w:pPr>
      <w:r>
        <w:t>84, avenue de Boïens</w:t>
      </w:r>
    </w:p>
    <w:p>
      <w:pPr>
        <w:spacing w:line="240" w:lineRule="auto" w:before="0" w:after="0"/>
        <w:jc w:val="right"/>
      </w:pPr>
      <w:r>
        <w:t>33380 BIGANOS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Raynaud,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L'organisation de votre cabinet, à taille humaine, témoigne d'une maîtrise essentielle du cœur de métier et d'une proximité directe avec les usagers. Cette structure permet une approche rigoureuse et personnalisée des problématiques foncières, garantissant un accompagnement de qualité pour chaque projet. La stabilité de votre cabinet depuis sa création en 2003 souligne une expertise solide et une connaissance approfondie des enjeux locaux. Ces valeurs de sérieux et de proximité assurent une continuité de service et une qualité de conseil privilégiée, caractéristiques d'une structure établie et ancrée dans son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Ma capacité de synthèse, acquise lors de mes recherches universitaires, me permet d'appréhender avec sérénité les dossiers nécessitant une analyse fine des documents historiques et des contraintes réglementaires.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Raynaud,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