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Gilles Cluzant</w:t>
      </w:r>
    </w:p>
    <w:p>
      <w:pPr>
        <w:spacing w:line="240" w:lineRule="auto" w:before="0" w:after="0"/>
        <w:jc w:val="right"/>
      </w:pPr>
      <w:r>
        <w:t>SELARL CLUZANT Gilles</w:t>
      </w:r>
    </w:p>
    <w:p>
      <w:pPr>
        <w:spacing w:line="240" w:lineRule="auto" w:before="0" w:after="0"/>
        <w:jc w:val="right"/>
      </w:pPr>
      <w:r>
        <w:t>808, route de la Cote de Jos</w:t>
      </w:r>
    </w:p>
    <w:p>
      <w:pPr>
        <w:spacing w:line="240" w:lineRule="auto" w:before="0" w:after="0"/>
        <w:jc w:val="right"/>
      </w:pPr>
      <w:r>
        <w:t>33420 GREZILLAC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Cluzant,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reconnue pour son exigence.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méthodique et clinique, où la précision n'est pas seulement une aspiration mais une condition d'existence indispensable à la sécurisation du patrimoine foncier. Votre capacité à produire des diagnostics fiables, inscrits dans la durée, témoigne d'une volonté de dépasser la simple mesure pour en comprendre la logique, les contraintes et les enjeux patrimoniaux. L'alliance entre une expertise historique solide, couvrant des contextes variés tels que le milieu viticole, les espaces forestiers ou le tissu urbain dense, et l'intégration de technologies de pointe comme le scan laser 3D ou les relevés par drone, garantit une traçabilité totale des opérations et une fiabilité compatible avec les enjeux successoraux ou de restructuration parcellaire.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de valorisation du bâti et de restructuration foncière,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pour soutenir vos missions.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Cluzant,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