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Laborde</w:t>
      </w:r>
    </w:p>
    <w:p>
      <w:pPr>
        <w:spacing w:line="240" w:lineRule="auto" w:before="0" w:after="0"/>
        <w:jc w:val="right"/>
      </w:pPr>
      <w:r>
        <w:t>SELARL LABORDE-LANSARD</w:t>
      </w:r>
    </w:p>
    <w:p>
      <w:pPr>
        <w:spacing w:line="240" w:lineRule="auto" w:before="0" w:after="0"/>
        <w:jc w:val="right"/>
      </w:pPr>
      <w:r>
        <w:t>26, avenue du Médoc</w:t>
      </w:r>
    </w:p>
    <w:p>
      <w:pPr>
        <w:spacing w:line="240" w:lineRule="auto" w:before="0" w:after="0"/>
        <w:jc w:val="right"/>
      </w:pPr>
      <w:r>
        <w:t>33114 LE BARP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Laborde,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afin de garantir la parfaite maîtrise du foncier.</w:t>
      </w:r>
    </w:p>
    <w:p>
      <w:pPr>
        <w:spacing w:line="276" w:lineRule="auto" w:before="0" w:after="160"/>
        <w:jc w:val="both"/>
      </w:pPr>
      <w:r>
        <w:t>Votre structure, établie depuis 2005, témoigne d'une solide maîtrise du cœur de métier et d'une présence ancrée sur le territoire. L'implantation de votre cabinet sur deux sites distincts, à Salles et au Barp, souligne une capacité à intervenir sur des périmètres variés tout en maintenant une proximité essentielle avec vos clients. Cette double présence géographique suggère une diversité de contextes d'intervention, entre zones urbaines et espaces ruraux, que je souhaite découvrir au sein d'une organisation pérenne et structurée.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transformer mes acquis théoriques en compétences opérationnelles concrètes et durables.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des spécificités de votre pratique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Laborde,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