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Jean-Louis Barrere</w:t>
      </w:r>
    </w:p>
    <w:p>
      <w:pPr>
        <w:spacing w:line="240" w:lineRule="auto" w:before="0" w:after="0"/>
        <w:jc w:val="right"/>
      </w:pPr>
      <w:r>
        <w:t>DUNE SARL de Géomètres-Experts</w:t>
      </w:r>
    </w:p>
    <w:p>
      <w:pPr>
        <w:spacing w:line="240" w:lineRule="auto" w:before="0" w:after="0"/>
        <w:jc w:val="right"/>
      </w:pPr>
      <w:r>
        <w:t>6, Rue du 22 août 1944</w:t>
      </w:r>
    </w:p>
    <w:p>
      <w:pPr>
        <w:spacing w:line="240" w:lineRule="auto" w:before="0" w:after="0"/>
        <w:jc w:val="right"/>
      </w:pPr>
      <w:r>
        <w:t>40990 ST PAUL LES DAX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Barrere,</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dynamique comme la vôtre.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foncière ou d’aménagement durable, en garantissant la fiabilité des limites et des droits.</w:t>
      </w:r>
    </w:p>
    <w:p>
      <w:pPr>
        <w:spacing w:line="276" w:lineRule="auto" w:before="0" w:after="160"/>
        <w:jc w:val="both"/>
      </w:pPr>
      <w:r>
        <w:t>DUNE SARL de Géomètres-Experts se distingue par une implantation multi-sites significative sur le territoire, notamment à Saint-Paul-les-Dax, Ygos-Saint-Saturnin, Soustons et Mezos. Cette présence géographique étendue témoigne d'une diversité de contextes d'intervention, allant du tissu urbain aux zones rurales. Cette capacité à intervenir sur des territoires variés, tout en maintenant une structure solide créée en 1982, souligne une expertise ancrée dans la réalité du terrain et une proximité continue avec les acteurs locaux.</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