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Blandine Ganivet</w:t>
      </w:r>
    </w:p>
    <w:p>
      <w:pPr>
        <w:spacing w:line="240" w:lineRule="auto" w:before="0" w:after="0"/>
        <w:jc w:val="right"/>
      </w:pPr>
      <w:r>
        <w:t>SARL BLANDINE GANIVET</w:t>
      </w:r>
    </w:p>
    <w:p>
      <w:pPr>
        <w:spacing w:line="240" w:lineRule="auto" w:before="0" w:after="0"/>
        <w:jc w:val="right"/>
      </w:pPr>
      <w:r>
        <w:t>145, route de Lelanne résidence ALAIA</w:t>
      </w:r>
    </w:p>
    <w:p>
      <w:pPr>
        <w:spacing w:line="240" w:lineRule="auto" w:before="0" w:after="0"/>
        <w:jc w:val="right"/>
      </w:pPr>
      <w:r>
        <w:t>40230 ST GEOURS DE MAREMNE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à taille humaine et récemment constitué en 2022, se distingue par une approche de proximité et une maîtrise directe du cœur de métier. En tant que structure à échelle locale, la SARL BLANDINE GANIVET assure un accompagnement rigoureux des propriétaires et des acteurs du territoire, privilégiant une expertise de terrain maîtrisée et une réactivité indispensable. Cette dimension artisanale, alliée au professionnalisme requis par l'exercice de la profession, constitue un environnement de travail particulièrement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rigoureuse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