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Cecile Jeanne Therese Bibette</w:t>
      </w:r>
    </w:p>
    <w:p>
      <w:pPr>
        <w:spacing w:line="240" w:lineRule="auto" w:before="0" w:after="0"/>
        <w:jc w:val="right"/>
      </w:pPr>
      <w:r>
        <w:t>SARL GEOTLANDES</w:t>
      </w:r>
    </w:p>
    <w:p>
      <w:pPr>
        <w:spacing w:line="240" w:lineRule="auto" w:before="0" w:after="0"/>
        <w:jc w:val="right"/>
      </w:pPr>
      <w:r>
        <w:t>115, route de Bordeaux</w:t>
      </w:r>
    </w:p>
    <w:p>
      <w:pPr>
        <w:spacing w:line="240" w:lineRule="auto" w:before="0" w:after="0"/>
        <w:jc w:val="right"/>
      </w:pPr>
      <w:r>
        <w:t>40410 MOUSTEY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Bibette,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Moustey depuis 2012, témoigne d'une maîtrise solide du cœur du métier de géomètre-expert. La gestion d'un portefeuille de clients diversifiés au sein d'une structure à taille humaine suggère une approche rigoureuse et une connaissance approfondie des enjeux locaux. Je suis particulièrement sensible à la qualité de l'accompagnement technique que propose une structure telle que GEOTLANDES, où la précision des actes fonciers, le respect du patrimoine et la relation de confiance avec les usagers sont primordiaux.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au contact des réalités du terrain,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Bibette,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