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Gaubert</w:t>
      </w:r>
    </w:p>
    <w:p>
      <w:pPr>
        <w:spacing w:line="240" w:lineRule="auto" w:before="0" w:after="0"/>
        <w:jc w:val="right"/>
      </w:pPr>
      <w:r>
        <w:t>SELARL PREMIER-PLAN</w:t>
      </w:r>
    </w:p>
    <w:p>
      <w:pPr>
        <w:spacing w:line="240" w:lineRule="auto" w:before="0" w:after="0"/>
        <w:jc w:val="right"/>
      </w:pPr>
      <w:r>
        <w:t>1000, Avenue de Terreblanque</w:t>
      </w:r>
    </w:p>
    <w:p>
      <w:pPr>
        <w:spacing w:line="240" w:lineRule="auto" w:before="0" w:after="0"/>
        <w:jc w:val="right"/>
      </w:pPr>
      <w:r>
        <w:t>40230 ST VINCENT DE TYROSSE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Gaubert,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foncière ou d’aménagement durable.</w:t>
      </w:r>
    </w:p>
    <w:p>
      <w:pPr>
        <w:spacing w:line="276" w:lineRule="auto" w:before="0" w:after="160"/>
        <w:jc w:val="both"/>
      </w:pPr>
      <w:r>
        <w:t>PREMIER-PLAN se distingue par une approche pluridisciplinaire forte, intégrant la géométrie, le paysage, l’ingénierie VRD et l’urbanisme pour offrir une vision globale et fine des projets. Votre présence sur plusieurs sites des Landes et du Pays Basque, alliée à un engagement marqué pour la transition écologique — illustré par vos bilans d'émissions de gaz à effet de serre et la promotion de la revégétalisation — témoigne d’une volonté d’accompagner durablement le territoire. Par ailleurs, l’intégration de technologies de pointe comme la modélisation 3D, le BIM ou la thermographie par drone illustre un souci constant d’innovation au service de la qualité d’usage. Cette complémentarité de compétences constitue un environnement stimulant.</w:t>
      </w:r>
    </w:p>
    <w:p>
      <w:pPr>
        <w:spacing w:line="276" w:lineRule="auto" w:before="0" w:after="160"/>
        <w:jc w:val="both"/>
      </w:pPr>
      <w:r>
        <w:t>Mon parcours d'universitaire de recherche m'a doté d'une forte culture de la donnée spatiale et d'une solide capacité d'analyse face aux problématiques complexes, notamment sur les thématiques de l'urbanisme et du patrimoine.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Gaubert,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