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Anne-Therese Briant</w:t>
      </w:r>
    </w:p>
    <w:p>
      <w:pPr>
        <w:spacing w:line="240" w:lineRule="auto" w:before="0" w:after="0"/>
        <w:jc w:val="right"/>
      </w:pPr>
      <w:r>
        <w:t>SARL ALIENOR GEOMETRES-EXPERTS</w:t>
      </w:r>
    </w:p>
    <w:p>
      <w:pPr>
        <w:spacing w:line="240" w:lineRule="auto" w:before="0" w:after="0"/>
        <w:jc w:val="right"/>
      </w:pPr>
      <w:r>
        <w:t>10, Rue Palissy</w:t>
      </w:r>
    </w:p>
    <w:p>
      <w:pPr>
        <w:spacing w:line="240" w:lineRule="auto" w:before="0" w:after="0"/>
        <w:jc w:val="right"/>
      </w:pPr>
      <w:r>
        <w:t>47000 AGEN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Briant,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La SARL ALIENOR GEOMETRES-EXPERTS se distingue par une organisation structurée et une présence multi-sites stratégique sur les secteurs d'Agen, Villeneuve sur Lot et Casteljaloux. Cette implantation géographique témoigne d'une maîtrise de la diversité des territoires couverts, qu'ils soient urbains, ruraux ou périurbains. Cette capacité à intervenir sur des périmètres variés souligne une expertise ancrée dans la réalité du terrain, garantissant une approche polyvalente des problématiques foncières locales et une connaissance approfondie des spécificités territoriales du département.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