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Dufourcq</w:t>
      </w:r>
    </w:p>
    <w:p>
      <w:pPr>
        <w:spacing w:line="240" w:lineRule="auto" w:before="0" w:after="0"/>
        <w:jc w:val="right"/>
      </w:pPr>
      <w:r>
        <w:t>Cabinet Gilles DUFOURCQ EURL</w:t>
      </w:r>
    </w:p>
    <w:p>
      <w:pPr>
        <w:spacing w:line="240" w:lineRule="auto" w:before="0" w:after="0"/>
        <w:jc w:val="right"/>
      </w:pPr>
      <w:r>
        <w:t>Chemin de Musdehalsuenborda</w:t>
      </w:r>
    </w:p>
    <w:p>
      <w:pPr>
        <w:spacing w:line="240" w:lineRule="auto" w:before="0" w:after="0"/>
        <w:jc w:val="right"/>
      </w:pPr>
      <w:r>
        <w:t>64250 CAMBO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2003 à Cambo Les Bains, incarne une structure à taille humaine dont la stabilité témoigne d'une solide maîtrise du cœur de métier. Votre ancrage local et votre organisation permettent d'assurer un suivi de proximité et une expertise de terrain rigoureuse auprès d'une clientèle variée. Cette dimension de cabinet de proximité, alliant polyvalence technique et ancrage territorial, constitue un environnement idéal pour une formation solide.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Dufourcq,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