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André Jean Labayle-Troy</w:t>
      </w:r>
    </w:p>
    <w:p>
      <w:pPr>
        <w:spacing w:line="240" w:lineRule="auto" w:before="0" w:after="0"/>
        <w:jc w:val="right"/>
      </w:pPr>
      <w:r>
        <w:t>Cabinet LABAYLE-TROY André</w:t>
      </w:r>
    </w:p>
    <w:p>
      <w:pPr>
        <w:spacing w:line="240" w:lineRule="auto" w:before="0" w:after="0"/>
        <w:jc w:val="right"/>
      </w:pPr>
      <w:r>
        <w:t>3 bis Avenue François Mauriac Résidence Andante</w:t>
      </w:r>
    </w:p>
    <w:p>
      <w:pPr>
        <w:spacing w:line="240" w:lineRule="auto" w:before="0" w:after="0"/>
        <w:jc w:val="right"/>
      </w:pPr>
      <w:r>
        <w:t>64200 BIARRITZ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LABAYLE-TROY André se distingue par une structure à taille humaine, permettant une maîtrise affirmée du cœur de métier. Créé en 1997, votre cabinet privilégie une approche de proximité et une expertise de terrain éprouvée. Cette stabilité et cette organisation suggèrent une attention particulière à la qualité des prestations, à la pérennité des interventions et à un accompagnement rigoureux des clients sur des problématiques foncières variées.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Labayle-Troy,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