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Sarrat</w:t>
      </w:r>
    </w:p>
    <w:p>
      <w:pPr>
        <w:spacing w:line="240" w:lineRule="auto" w:before="0" w:after="0"/>
        <w:jc w:val="right"/>
      </w:pPr>
      <w:r>
        <w:t>Cabinet SARRAT et Associés SARL DE GEOMETRES-EXPERTS</w:t>
      </w:r>
    </w:p>
    <w:p>
      <w:pPr>
        <w:spacing w:line="240" w:lineRule="auto" w:before="0" w:after="0"/>
        <w:jc w:val="right"/>
      </w:pPr>
      <w:r>
        <w:t>11 avenue de Barèges</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compétence est, selon moi, essentielle pour accompagner les acteurs du territoire.</w:t>
      </w:r>
    </w:p>
    <w:p>
      <w:pPr>
        <w:spacing w:line="276" w:lineRule="auto" w:before="0" w:after="160"/>
        <w:jc w:val="both"/>
      </w:pPr>
      <w:r>
        <w:t>En m’adressant au cabinet SARRAT et Associés, je suis particulièrement attentif à la structure que vous avez bâtie depuis 2009. Votre taille humaine, avec une équipe de trois à cinq collaborateurs, témoigne d'une volonté de maintenir une proximité réelle avec les usagers et une maîtrise approfondie du cœur de métier. Cette dimension, ancrée dans le territoire de Pau, suggère une expertise où la qualité du conseil et la rigueur de l'expertise foncière sont les piliers de la relation client. Elle offre un cadre idéal pour une montée en compétences maîtrisée.</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et les spécificités juridiques de la profession. Je conçois ce stage comme un véritable échange de compétences entre la rigueur de la donnée — nourrie par une sensibilité aux outils numériques —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Sarrat,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