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CASAURANCQ MINVIELLE</w:t>
      </w:r>
    </w:p>
    <w:p>
      <w:pPr>
        <w:spacing w:line="240" w:lineRule="auto" w:before="0" w:after="0"/>
        <w:jc w:val="right"/>
      </w:pPr>
      <w:r>
        <w:t>8 bis route de Pardies</w:t>
      </w:r>
    </w:p>
    <w:p>
      <w:pPr>
        <w:spacing w:line="240" w:lineRule="auto" w:before="0" w:after="0"/>
        <w:jc w:val="right"/>
      </w:pPr>
      <w:r>
        <w:t>64360 ABOS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Casaurancq-Minvielle,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L'étude de votre cabinet, récemment créée en 2025, témoigne d'une volonté de se concentrer sur l'essence même du métier de géomètre-expert. Sa structure permet une approche directe et une maîtrise du cœur de métier, garantissant une proximité essentielle avec les clients et une attention particulière portée à la qualité des prestations techniques. Cette dynamique de développement offre un cadre propice à une pratique exigeante, où la précision de l'expertise et la réactivité face aux demandes locales constituent les piliers de la structure. En tant que cabinet récent, votre approche privilégie la qualité du service et la fiabilité technique, des valeurs qui assurent la pérennité des interventions sur le territoire.</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traiter des dossiers variés.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afin de contribuer efficacement à la réussite de vos missions.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Casaurancq-Minvielle,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