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Pauline ROBLIN</w:t>
      </w:r>
    </w:p>
    <w:p>
      <w:pPr>
        <w:spacing w:line="240" w:lineRule="auto" w:before="0" w:after="0"/>
        <w:jc w:val="right"/>
      </w:pPr>
      <w:r>
        <w:t>SARL Pauline ROBLIN Géomètre-Expert</w:t>
      </w:r>
    </w:p>
    <w:p>
      <w:pPr>
        <w:spacing w:line="240" w:lineRule="auto" w:before="0" w:after="0"/>
        <w:jc w:val="right"/>
      </w:pPr>
      <w:r>
        <w:t>2, rue Jean-Baptiste Carreau</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en copropriété et immobilier commercial, centrée sur le montage juridique des projets. Votre approche, combinant une analyse minutieuse de la cohérence entre situation de fait et situation telle que publiée pour identifier les régularisations, témoigne d'une rigueur essentielle à l'intégrité des opérations foncières. Votre engagement pour un accompagnement global, incluant une certification en médiation, souligne une volonté de garantir la stabilité juridique des organisations. Cette démarche s'exprime dans vos prestations de gestion des surfaces, de répartition des charges, ainsi que dans les divisions en volumes pour ASL ou AFUL.</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le cadre réglementaire.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